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5F" w:rsidRPr="00056B1E" w:rsidRDefault="00F23E09" w:rsidP="00CA51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1E">
        <w:rPr>
          <w:rFonts w:ascii="Times New Roman" w:hAnsi="Times New Roman" w:cs="Times New Roman"/>
          <w:b/>
          <w:sz w:val="28"/>
          <w:szCs w:val="28"/>
        </w:rPr>
        <w:t xml:space="preserve">IMPACTO DA MUDANÇA DA BIBLIOGRAFIA NO DESEMPENHO DOS DISCENTES – O CASO DA DISCIPLINA ANÁLISE DAS DEMONSTRAÇÕES CONTÁBEIS </w:t>
      </w:r>
      <w:r w:rsidR="00DA3185" w:rsidRPr="00056B1E">
        <w:rPr>
          <w:rFonts w:ascii="Times New Roman" w:hAnsi="Times New Roman" w:cs="Times New Roman"/>
          <w:b/>
          <w:sz w:val="28"/>
          <w:szCs w:val="28"/>
        </w:rPr>
        <w:t>NO PERÍODO 2011.2</w:t>
      </w:r>
    </w:p>
    <w:p w:rsidR="00F23E09" w:rsidRPr="00056B1E" w:rsidRDefault="00DA3185" w:rsidP="00CA51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1E">
        <w:rPr>
          <w:rFonts w:ascii="Times New Roman" w:hAnsi="Times New Roman" w:cs="Times New Roman"/>
          <w:sz w:val="24"/>
          <w:szCs w:val="24"/>
        </w:rPr>
        <w:t>Carlos André Marinho Vieira – Monitor Voluntário</w:t>
      </w:r>
    </w:p>
    <w:p w:rsidR="00DA3185" w:rsidRPr="00056B1E" w:rsidRDefault="00DA3185" w:rsidP="00CA51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B1E">
        <w:rPr>
          <w:rFonts w:ascii="Times New Roman" w:hAnsi="Times New Roman" w:cs="Times New Roman"/>
          <w:sz w:val="24"/>
          <w:szCs w:val="24"/>
        </w:rPr>
        <w:t>Azamor</w:t>
      </w:r>
      <w:proofErr w:type="spellEnd"/>
      <w:r w:rsidRPr="00056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B1E">
        <w:rPr>
          <w:rFonts w:ascii="Times New Roman" w:hAnsi="Times New Roman" w:cs="Times New Roman"/>
          <w:sz w:val="24"/>
          <w:szCs w:val="24"/>
        </w:rPr>
        <w:t>Cirne</w:t>
      </w:r>
      <w:proofErr w:type="spellEnd"/>
      <w:r w:rsidRPr="00056B1E">
        <w:rPr>
          <w:rFonts w:ascii="Times New Roman" w:hAnsi="Times New Roman" w:cs="Times New Roman"/>
          <w:sz w:val="24"/>
          <w:szCs w:val="24"/>
        </w:rPr>
        <w:t xml:space="preserve"> de Azevedo Filho– Professor Coordenador</w:t>
      </w:r>
    </w:p>
    <w:p w:rsidR="00DA3185" w:rsidRPr="00056B1E" w:rsidRDefault="00DA3185" w:rsidP="00CA51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1E">
        <w:rPr>
          <w:rFonts w:ascii="Times New Roman" w:hAnsi="Times New Roman" w:cs="Times New Roman"/>
          <w:sz w:val="24"/>
          <w:szCs w:val="24"/>
        </w:rPr>
        <w:t>Centro de Ciências Sociais Aplicadas</w:t>
      </w:r>
    </w:p>
    <w:p w:rsidR="00DA3185" w:rsidRPr="00056B1E" w:rsidRDefault="00DA3185" w:rsidP="00CA51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1E">
        <w:rPr>
          <w:rFonts w:ascii="Times New Roman" w:hAnsi="Times New Roman" w:cs="Times New Roman"/>
          <w:sz w:val="24"/>
          <w:szCs w:val="24"/>
        </w:rPr>
        <w:t>Departamento de Finanças e Contabilidade</w:t>
      </w:r>
    </w:p>
    <w:p w:rsidR="00DA3185" w:rsidRPr="00056B1E" w:rsidRDefault="00DA3185" w:rsidP="00CA5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185" w:rsidRPr="00056B1E" w:rsidRDefault="00DA3185" w:rsidP="00CA5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1E">
        <w:rPr>
          <w:rFonts w:ascii="Times New Roman" w:hAnsi="Times New Roman" w:cs="Times New Roman"/>
          <w:b/>
          <w:sz w:val="24"/>
          <w:szCs w:val="24"/>
        </w:rPr>
        <w:t>1 I</w:t>
      </w:r>
      <w:r w:rsidR="00056B1E" w:rsidRPr="00056B1E">
        <w:rPr>
          <w:rFonts w:ascii="Times New Roman" w:hAnsi="Times New Roman" w:cs="Times New Roman"/>
          <w:b/>
          <w:sz w:val="24"/>
          <w:szCs w:val="24"/>
        </w:rPr>
        <w:t>NTRODUÇÃO</w:t>
      </w:r>
    </w:p>
    <w:p w:rsidR="00F71585" w:rsidRPr="00056B1E" w:rsidRDefault="00F71585" w:rsidP="00CA51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B1E">
        <w:rPr>
          <w:rFonts w:ascii="Times New Roman" w:hAnsi="Times New Roman"/>
          <w:sz w:val="24"/>
          <w:szCs w:val="24"/>
        </w:rPr>
        <w:t xml:space="preserve">O projeto de monitoria é regulamentado pela </w:t>
      </w:r>
      <w:r w:rsidRPr="00056B1E">
        <w:rPr>
          <w:rFonts w:ascii="Times New Roman" w:hAnsi="Times New Roman"/>
          <w:b/>
          <w:bCs/>
          <w:sz w:val="24"/>
          <w:szCs w:val="24"/>
        </w:rPr>
        <w:t xml:space="preserve">Resolução Nº 02/1996 </w:t>
      </w:r>
      <w:r w:rsidRPr="00056B1E">
        <w:rPr>
          <w:rFonts w:ascii="Times New Roman" w:hAnsi="Times New Roman"/>
          <w:bCs/>
          <w:sz w:val="24"/>
          <w:szCs w:val="24"/>
        </w:rPr>
        <w:t>do Conselho Superior de Ensino, Pesquisa e Extensão - CONSEPE</w:t>
      </w:r>
      <w:r w:rsidRPr="00056B1E">
        <w:rPr>
          <w:rFonts w:ascii="Times New Roman" w:hAnsi="Times New Roman"/>
          <w:sz w:val="24"/>
          <w:szCs w:val="24"/>
        </w:rPr>
        <w:t>. A monitoria serve de ajuda para os alunos no sentido de acompanhá-los durante o curso, dirimindo suas dúvidas e melhorando o desempenho dos mesmos.</w:t>
      </w:r>
    </w:p>
    <w:p w:rsidR="00F71585" w:rsidRPr="00056B1E" w:rsidRDefault="00F71585" w:rsidP="00CA51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B1E">
        <w:rPr>
          <w:rFonts w:ascii="Times New Roman" w:hAnsi="Times New Roman"/>
          <w:sz w:val="24"/>
          <w:szCs w:val="24"/>
        </w:rPr>
        <w:t xml:space="preserve">De acordo com o parágrafo 1° do artigo 5° da Resolução n° 02/1996 do CONSEPE, </w:t>
      </w:r>
      <w:proofErr w:type="gramStart"/>
      <w:r w:rsidRPr="00056B1E">
        <w:rPr>
          <w:rFonts w:ascii="Times New Roman" w:hAnsi="Times New Roman"/>
          <w:sz w:val="24"/>
          <w:szCs w:val="24"/>
        </w:rPr>
        <w:t>para</w:t>
      </w:r>
      <w:proofErr w:type="gramEnd"/>
      <w:r w:rsidRPr="00056B1E">
        <w:rPr>
          <w:rFonts w:ascii="Times New Roman" w:hAnsi="Times New Roman"/>
          <w:sz w:val="24"/>
          <w:szCs w:val="24"/>
        </w:rPr>
        <w:t xml:space="preserve"> inscrever-se no processo de seleção da monitoria, o aluno já deve ter </w:t>
      </w:r>
      <w:r w:rsidR="00A274A0">
        <w:rPr>
          <w:rFonts w:ascii="Times New Roman" w:hAnsi="Times New Roman"/>
          <w:sz w:val="24"/>
          <w:szCs w:val="24"/>
        </w:rPr>
        <w:t>cursado</w:t>
      </w:r>
      <w:r w:rsidRPr="00056B1E">
        <w:rPr>
          <w:rFonts w:ascii="Times New Roman" w:hAnsi="Times New Roman"/>
          <w:sz w:val="24"/>
          <w:szCs w:val="24"/>
        </w:rPr>
        <w:t xml:space="preserve"> a disciplina objeto de seleção ou outra cujo conteúdo programático seja equivalente ao dela, com, no mínimo, média 7,0 (sete), em ambos os casos, comprovando-a por meio do Histórico Escolar.</w:t>
      </w:r>
    </w:p>
    <w:p w:rsidR="00F71585" w:rsidRPr="00056B1E" w:rsidRDefault="00F71585" w:rsidP="00CA51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B1E">
        <w:rPr>
          <w:rFonts w:ascii="Times New Roman" w:hAnsi="Times New Roman"/>
          <w:sz w:val="24"/>
          <w:szCs w:val="24"/>
        </w:rPr>
        <w:t>Segundo o Art. 2° da referida resolução, os objetivos da monitoria consistem:</w:t>
      </w:r>
    </w:p>
    <w:p w:rsidR="00F71585" w:rsidRPr="00056B1E" w:rsidRDefault="00F71585" w:rsidP="00CA5155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B1E">
        <w:rPr>
          <w:rFonts w:ascii="Times New Roman" w:hAnsi="Times New Roman"/>
          <w:sz w:val="24"/>
          <w:szCs w:val="24"/>
        </w:rPr>
        <w:t>despertar</w:t>
      </w:r>
      <w:proofErr w:type="gramEnd"/>
      <w:r w:rsidRPr="00056B1E">
        <w:rPr>
          <w:rFonts w:ascii="Times New Roman" w:hAnsi="Times New Roman"/>
          <w:sz w:val="24"/>
          <w:szCs w:val="24"/>
        </w:rPr>
        <w:t xml:space="preserve"> no aluno o interesse pela carreira docente;</w:t>
      </w:r>
    </w:p>
    <w:p w:rsidR="00F71585" w:rsidRPr="00056B1E" w:rsidRDefault="00F71585" w:rsidP="00CA5155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B1E">
        <w:rPr>
          <w:rFonts w:ascii="Times New Roman" w:hAnsi="Times New Roman"/>
          <w:sz w:val="24"/>
          <w:szCs w:val="24"/>
        </w:rPr>
        <w:t>promover</w:t>
      </w:r>
      <w:proofErr w:type="gramEnd"/>
      <w:r w:rsidRPr="00056B1E">
        <w:rPr>
          <w:rFonts w:ascii="Times New Roman" w:hAnsi="Times New Roman"/>
          <w:sz w:val="24"/>
          <w:szCs w:val="24"/>
        </w:rPr>
        <w:t xml:space="preserve"> a cooperação acadêmica entre discentes e docentes;</w:t>
      </w:r>
    </w:p>
    <w:p w:rsidR="00F71585" w:rsidRPr="00056B1E" w:rsidRDefault="00F71585" w:rsidP="00CA5155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B1E">
        <w:rPr>
          <w:rFonts w:ascii="Times New Roman" w:hAnsi="Times New Roman"/>
          <w:sz w:val="24"/>
          <w:szCs w:val="24"/>
        </w:rPr>
        <w:t>minorar</w:t>
      </w:r>
      <w:proofErr w:type="gramEnd"/>
      <w:r w:rsidRPr="00056B1E">
        <w:rPr>
          <w:rFonts w:ascii="Times New Roman" w:hAnsi="Times New Roman"/>
          <w:sz w:val="24"/>
          <w:szCs w:val="24"/>
        </w:rPr>
        <w:t xml:space="preserve"> problemas crônicos  de repetência, evasão e falta de motivação comuns em muitas disciplinas;</w:t>
      </w:r>
    </w:p>
    <w:p w:rsidR="00F71585" w:rsidRPr="00056B1E" w:rsidRDefault="00F71585" w:rsidP="00CA5155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B1E">
        <w:rPr>
          <w:rFonts w:ascii="Times New Roman" w:hAnsi="Times New Roman"/>
          <w:sz w:val="24"/>
          <w:szCs w:val="24"/>
        </w:rPr>
        <w:t>contribuir</w:t>
      </w:r>
      <w:proofErr w:type="gramEnd"/>
      <w:r w:rsidRPr="00056B1E">
        <w:rPr>
          <w:rFonts w:ascii="Times New Roman" w:hAnsi="Times New Roman"/>
          <w:sz w:val="24"/>
          <w:szCs w:val="24"/>
        </w:rPr>
        <w:t xml:space="preserve"> para a melhoria da qualidade do ensino.</w:t>
      </w:r>
    </w:p>
    <w:p w:rsidR="00F71585" w:rsidRPr="00056B1E" w:rsidRDefault="00F71585" w:rsidP="00CA51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B1E">
        <w:rPr>
          <w:rFonts w:ascii="Times New Roman" w:hAnsi="Times New Roman"/>
          <w:sz w:val="24"/>
          <w:szCs w:val="24"/>
        </w:rPr>
        <w:t>Pode-se observar que a monitoria serve de oportunidade para o aluno monitor descobrir sua vocação docente, além de aprofundar seu conhecimento na área específica por ele escolhida ao candidatar-se à monitoria.</w:t>
      </w:r>
    </w:p>
    <w:p w:rsidR="00F71585" w:rsidRDefault="00F71585" w:rsidP="00CA51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B1E">
        <w:rPr>
          <w:rFonts w:ascii="Times New Roman" w:hAnsi="Times New Roman"/>
          <w:sz w:val="24"/>
          <w:szCs w:val="24"/>
        </w:rPr>
        <w:t>Dessa forma, o monitor, além de sedimentar seu conhecimento, na medida em que está auxiliando o discente, serve como um facilitador do aprendizado deste, visto que suas dúvidas são dirimidas aumentando o seu desempenho.</w:t>
      </w:r>
    </w:p>
    <w:p w:rsidR="00056B1E" w:rsidRPr="00056B1E" w:rsidRDefault="00056B1E" w:rsidP="00CA51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A3185" w:rsidRPr="00056B1E" w:rsidRDefault="00056B1E" w:rsidP="00CA5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6B1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274A0">
        <w:rPr>
          <w:rFonts w:ascii="Times New Roman" w:hAnsi="Times New Roman" w:cs="Times New Roman"/>
          <w:b/>
          <w:sz w:val="24"/>
          <w:szCs w:val="24"/>
        </w:rPr>
        <w:t>DISCIPLINA</w:t>
      </w:r>
      <w:proofErr w:type="gramEnd"/>
      <w:r w:rsidR="00A274A0">
        <w:rPr>
          <w:rFonts w:ascii="Times New Roman" w:hAnsi="Times New Roman" w:cs="Times New Roman"/>
          <w:b/>
          <w:sz w:val="24"/>
          <w:szCs w:val="24"/>
        </w:rPr>
        <w:t xml:space="preserve"> ANÁLISE DAS DEMONSTRAÇÕES CONTÁBEIS</w:t>
      </w:r>
    </w:p>
    <w:p w:rsidR="00CA5155" w:rsidRDefault="00056B1E" w:rsidP="00CA5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disciplina objeto da monitoria </w:t>
      </w:r>
      <w:r w:rsidR="00CA5155">
        <w:rPr>
          <w:rFonts w:ascii="Times New Roman" w:hAnsi="Times New Roman" w:cs="Times New Roman"/>
          <w:sz w:val="24"/>
          <w:szCs w:val="24"/>
        </w:rPr>
        <w:t xml:space="preserve">está incluída na proposta nacional de conteúdo para o curso de graduação em ciências contábeis, o que indica sua importância para a formação do </w:t>
      </w:r>
      <w:r w:rsidR="00CA5155">
        <w:rPr>
          <w:rFonts w:ascii="Times New Roman" w:hAnsi="Times New Roman" w:cs="Times New Roman"/>
          <w:sz w:val="24"/>
          <w:szCs w:val="24"/>
        </w:rPr>
        <w:lastRenderedPageBreak/>
        <w:t xml:space="preserve">profissional contábil, </w:t>
      </w:r>
      <w:r w:rsidR="00241D46">
        <w:rPr>
          <w:rFonts w:ascii="Times New Roman" w:hAnsi="Times New Roman" w:cs="Times New Roman"/>
          <w:sz w:val="24"/>
          <w:szCs w:val="24"/>
        </w:rPr>
        <w:t xml:space="preserve">sendo enquadrada como conteúdo de formação profissional, tendo carga horária de 60 horas e </w:t>
      </w:r>
      <w:r w:rsidR="00CA5155">
        <w:rPr>
          <w:rFonts w:ascii="Times New Roman" w:hAnsi="Times New Roman" w:cs="Times New Roman"/>
          <w:sz w:val="24"/>
          <w:szCs w:val="24"/>
        </w:rPr>
        <w:t>sendo que pela proposta deve conter na ementa: conceitos, ajustes nas demonstrações contábeis para fins de análise, análise vertical e horizontal e análise econômico-financeira.</w:t>
      </w:r>
    </w:p>
    <w:p w:rsidR="00F71585" w:rsidRDefault="00056B1E" w:rsidP="00CA5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1E">
        <w:rPr>
          <w:rFonts w:ascii="Times New Roman" w:hAnsi="Times New Roman" w:cs="Times New Roman"/>
          <w:sz w:val="24"/>
          <w:szCs w:val="24"/>
        </w:rPr>
        <w:t xml:space="preserve">Conforme Matarazzo (2010, p. 3) </w:t>
      </w:r>
      <w:r>
        <w:rPr>
          <w:rFonts w:ascii="Times New Roman" w:hAnsi="Times New Roman" w:cs="Times New Roman"/>
          <w:sz w:val="24"/>
          <w:szCs w:val="24"/>
        </w:rPr>
        <w:t xml:space="preserve">“a Análise de Balanços objetiva </w:t>
      </w:r>
      <w:proofErr w:type="gramStart"/>
      <w:r>
        <w:rPr>
          <w:rFonts w:ascii="Times New Roman" w:hAnsi="Times New Roman" w:cs="Times New Roman"/>
          <w:sz w:val="24"/>
          <w:szCs w:val="24"/>
        </w:rPr>
        <w:t>extrair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informações das Demonstrações Financeiras para a tomada de decisões”</w:t>
      </w:r>
      <w:r w:rsidR="00CA5155">
        <w:rPr>
          <w:rFonts w:ascii="Times New Roman" w:hAnsi="Times New Roman" w:cs="Times New Roman"/>
          <w:sz w:val="24"/>
          <w:szCs w:val="24"/>
        </w:rPr>
        <w:t>, sendo que essas decisões tanto podem ser de cunho gerencial quanto decisões para usuários externos da informação, como investidores, clientes, governo, fornecedores e analistas.</w:t>
      </w:r>
    </w:p>
    <w:p w:rsidR="00CA5155" w:rsidRDefault="007D6CC6" w:rsidP="007D6C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bibliografias incluídas na proposta incluem os livros Estrutura e Análise de Balanços: Livro texto (Alexandre Assaf Neto, 8º ed., São Paulo, 2006), Análise de Balanços (Sérgio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Iudícibus</w:t>
      </w:r>
      <w:proofErr w:type="spellEnd"/>
      <w:r>
        <w:rPr>
          <w:rFonts w:ascii="Times New Roman" w:hAnsi="Times New Roman" w:cs="Times New Roman"/>
          <w:sz w:val="24"/>
          <w:szCs w:val="24"/>
        </w:rPr>
        <w:t>, 8º ed., São Paulo, 2007), Análise das demonstrações contábeis (José Carlos Marion, 3º ed., São Paulo, 2005) e Análise Financeira de Balanços: Abordagem básica e gerencial (Dante C. Matarazzo, 6º ed., São Paulo, 2003).</w:t>
      </w:r>
    </w:p>
    <w:p w:rsidR="00056B1E" w:rsidRPr="00A6696D" w:rsidRDefault="00A6696D" w:rsidP="00A669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períodos noturnos de 2011.1 e 2011.2 em que a disciplina foi ministrada, foi observada a mudança da bibl</w:t>
      </w:r>
      <w:r w:rsidR="008E54E0">
        <w:rPr>
          <w:rFonts w:ascii="Times New Roman" w:hAnsi="Times New Roman" w:cs="Times New Roman"/>
          <w:sz w:val="24"/>
          <w:szCs w:val="24"/>
        </w:rPr>
        <w:t>iografia básica adotada pelo do</w:t>
      </w:r>
      <w:r>
        <w:rPr>
          <w:rFonts w:ascii="Times New Roman" w:hAnsi="Times New Roman" w:cs="Times New Roman"/>
          <w:sz w:val="24"/>
          <w:szCs w:val="24"/>
        </w:rPr>
        <w:t>cente para a disciplina. No período 2011.1, o livro usado como bibliografia básica era Análise Financeira de Balanços: Abordagem Gerencial (Dante C. Matarazzo, 7º ed.)</w:t>
      </w:r>
      <w:r w:rsidR="00A57274">
        <w:rPr>
          <w:rFonts w:ascii="Times New Roman" w:hAnsi="Times New Roman" w:cs="Times New Roman"/>
          <w:sz w:val="24"/>
          <w:szCs w:val="24"/>
        </w:rPr>
        <w:t xml:space="preserve"> sendo considerado um livro básico para um primeiro contato dos estudantes com a disciplina. No período de 2011.2, foi adotado o livro Estrutura e Análise de Balanços: Um enfoque econômico-financeiro (Alexandre Assaf Neto, 9º ed.)</w:t>
      </w:r>
      <w:r w:rsidR="003D3479">
        <w:rPr>
          <w:rFonts w:ascii="Times New Roman" w:hAnsi="Times New Roman" w:cs="Times New Roman"/>
          <w:sz w:val="24"/>
          <w:szCs w:val="24"/>
        </w:rPr>
        <w:t xml:space="preserve"> sendo incluso neste, além da parte básica do conteúdo constante no livro anterior, conhecimentos mais avançados acerca da disciplina.</w:t>
      </w:r>
    </w:p>
    <w:p w:rsidR="00A6696D" w:rsidRDefault="00A6696D" w:rsidP="00A669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96D" w:rsidRDefault="00A6696D" w:rsidP="00CA5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METODOLOGIA</w:t>
      </w:r>
    </w:p>
    <w:p w:rsidR="00A6696D" w:rsidRDefault="008E54E0" w:rsidP="003D3479">
      <w:pPr>
        <w:spacing w:after="0" w:line="36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4E0">
        <w:rPr>
          <w:rFonts w:ascii="Times New Roman" w:hAnsi="Times New Roman" w:cs="Times New Roman"/>
          <w:sz w:val="24"/>
          <w:szCs w:val="24"/>
        </w:rPr>
        <w:t xml:space="preserve">Para analisar a </w:t>
      </w:r>
      <w:r>
        <w:rPr>
          <w:rFonts w:ascii="Times New Roman" w:hAnsi="Times New Roman" w:cs="Times New Roman"/>
          <w:sz w:val="24"/>
          <w:szCs w:val="24"/>
        </w:rPr>
        <w:t>relação entre a mudança da bibliografia e o desempenho dos discentes na disciplina, foi realizada uma pesquisa, quanto aos meios, bibliográfica, a qual é abordada a partir de material já publicado e quanto aos fins, descritiva, enfatizando os aspectos quantitativos, uma vez que se procurou analisar percentuais de aprovação, reprovação, evasão e média escolar, observados na disciplina Análise das demonstrações contábeis no Campus I da UFPB, durante os períodos letivos de 2011.1 e 2011.2 no turno da noite.</w:t>
      </w:r>
      <w:proofErr w:type="gramEnd"/>
    </w:p>
    <w:p w:rsidR="008E54E0" w:rsidRDefault="008E54E0" w:rsidP="003D3479">
      <w:pPr>
        <w:spacing w:after="0" w:line="36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dados da pesquisa foram obtidos no Departamento de Finanças e Contabilidade, o qual detém a guarda das cadernetas com as notas dos alunos, o que permitiu a extração dos dados objetos do estudo. O objetivo da pesquisa é analisar como foi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reação dos discentes pela mudança da bibliografia, considerada mais avançada e que requer um maior estudo e compreensão sobre o tema por parte dos discentes.</w:t>
      </w:r>
    </w:p>
    <w:p w:rsidR="003D3479" w:rsidRDefault="008E54E0" w:rsidP="00CA5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4 ANÁLISE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DOS DADOS</w:t>
      </w:r>
    </w:p>
    <w:p w:rsidR="00A12E05" w:rsidRDefault="00A12E05" w:rsidP="008E54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dados coletados para os períodos de 2011.1 e 2011.2 mostram a quantidade de alunos aprovados, reprovados e desistentes:</w:t>
      </w:r>
    </w:p>
    <w:p w:rsidR="002A0486" w:rsidRDefault="002A0486" w:rsidP="002A0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E05" w:rsidRPr="00A12E05" w:rsidRDefault="008E37F2" w:rsidP="00A12E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Gráfico</w:t>
      </w:r>
      <w:r w:rsidR="00A12E05" w:rsidRPr="00A12E05">
        <w:rPr>
          <w:rFonts w:ascii="Times New Roman" w:hAnsi="Times New Roman" w:cs="Times New Roman"/>
          <w:sz w:val="20"/>
          <w:szCs w:val="20"/>
        </w:rPr>
        <w:t xml:space="preserve"> 1: Desempenho dos Discentes</w:t>
      </w:r>
    </w:p>
    <w:p w:rsidR="00A12E05" w:rsidRDefault="00A12E05" w:rsidP="00A12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781300" cy="1809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781300" cy="18097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2E05" w:rsidRDefault="00A12E05" w:rsidP="008E54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4E0" w:rsidRDefault="00A12E05" w:rsidP="00A12E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comparação entre os dados coletados nos períodos de análise mostra um aumento no percentual de aprovação, que passou de 78% para 82% dos alunos matriculados e uma diminuição na evasão da disciplina (de 17% para 8% dos alunos matriculados), porém, foi também observado aumento nas reprovações (de 6% para 10% dos alunos matriculados).</w:t>
      </w:r>
    </w:p>
    <w:p w:rsidR="008E37F2" w:rsidRDefault="008E37F2" w:rsidP="00A12E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7F2" w:rsidRPr="008E37F2" w:rsidRDefault="008E37F2" w:rsidP="008E37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Gráfico 2: Desempenho percentual dos discentes</w:t>
      </w:r>
    </w:p>
    <w:p w:rsidR="00A12E05" w:rsidRDefault="008E37F2" w:rsidP="008E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475" cy="20955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714625" cy="20859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0486" w:rsidRDefault="002A0486" w:rsidP="002A0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486" w:rsidRDefault="002A0486" w:rsidP="002A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Houve também um declínio na média dos discentes durante um período para o outro, que passou de 7.3 para 6.5, além de ter sido percebido pelo monitor, uma maior procura dos discentes para sanar dúvidas e orientação para a apresentação de trabalhos sobre o tema e a resolução de exercícios.</w:t>
      </w:r>
    </w:p>
    <w:p w:rsidR="002A0486" w:rsidRPr="00FD6789" w:rsidRDefault="002A0486" w:rsidP="002A04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78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009B9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2A0486" w:rsidRDefault="00FD6789" w:rsidP="002A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Através dos resultados da pesquisa e observações efetuadas pelo monitor sobre a procura e dificuldade dos discentes, podem ser tecidas algumas suposições:</w:t>
      </w:r>
    </w:p>
    <w:p w:rsidR="00FD6789" w:rsidRDefault="00FD6789" w:rsidP="00FD678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Houve aumento no número de alunos matriculados;</w:t>
      </w:r>
    </w:p>
    <w:p w:rsidR="00FD6789" w:rsidRDefault="00FD6789" w:rsidP="00FD678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média pode ter decaído em razão do grau de dificuldade do conteúdo abordado na disciplina;</w:t>
      </w:r>
    </w:p>
    <w:p w:rsidR="00FD6789" w:rsidRDefault="00FD6789" w:rsidP="00FD678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número de desistências </w:t>
      </w:r>
      <w:proofErr w:type="gramStart"/>
      <w:r>
        <w:rPr>
          <w:rFonts w:ascii="Times New Roman" w:hAnsi="Times New Roman"/>
          <w:sz w:val="24"/>
          <w:szCs w:val="24"/>
        </w:rPr>
        <w:t>decaiu,</w:t>
      </w:r>
      <w:proofErr w:type="gramEnd"/>
      <w:r>
        <w:rPr>
          <w:rFonts w:ascii="Times New Roman" w:hAnsi="Times New Roman"/>
          <w:sz w:val="24"/>
          <w:szCs w:val="24"/>
        </w:rPr>
        <w:t xml:space="preserve"> talvez em </w:t>
      </w:r>
      <w:r w:rsidR="00490527">
        <w:rPr>
          <w:rFonts w:ascii="Times New Roman" w:hAnsi="Times New Roman"/>
          <w:sz w:val="24"/>
          <w:szCs w:val="24"/>
        </w:rPr>
        <w:t>razão de uma maior procura dos discentes para sanar as dúvidas inerentes ao assunto, que se mostrou mais complexo.</w:t>
      </w:r>
    </w:p>
    <w:p w:rsidR="00490527" w:rsidRPr="00490527" w:rsidRDefault="00490527" w:rsidP="004905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9A">
        <w:rPr>
          <w:rFonts w:ascii="Times New Roman" w:hAnsi="Times New Roman"/>
          <w:sz w:val="24"/>
          <w:szCs w:val="24"/>
          <w:lang w:eastAsia="pt-BR"/>
        </w:rPr>
        <w:t xml:space="preserve">Com os resultados apresentados, fica </w:t>
      </w:r>
      <w:r>
        <w:rPr>
          <w:rFonts w:ascii="Times New Roman" w:hAnsi="Times New Roman"/>
          <w:sz w:val="24"/>
          <w:szCs w:val="24"/>
          <w:lang w:eastAsia="pt-BR"/>
        </w:rPr>
        <w:t>visível</w:t>
      </w:r>
      <w:r w:rsidRPr="00F63D9A">
        <w:rPr>
          <w:rFonts w:ascii="Times New Roman" w:hAnsi="Times New Roman"/>
          <w:sz w:val="24"/>
          <w:szCs w:val="24"/>
          <w:lang w:eastAsia="pt-BR"/>
        </w:rPr>
        <w:t xml:space="preserve"> que a continuidade do projeto de monitoria de Análise das Demonstrações Contábeis consegu</w:t>
      </w:r>
      <w:r>
        <w:rPr>
          <w:rFonts w:ascii="Times New Roman" w:hAnsi="Times New Roman"/>
          <w:sz w:val="24"/>
          <w:szCs w:val="24"/>
          <w:lang w:eastAsia="pt-BR"/>
        </w:rPr>
        <w:t>e</w:t>
      </w:r>
      <w:r w:rsidRPr="00F63D9A">
        <w:rPr>
          <w:rFonts w:ascii="Times New Roman" w:hAnsi="Times New Roman"/>
          <w:sz w:val="24"/>
          <w:szCs w:val="24"/>
          <w:lang w:eastAsia="pt-BR"/>
        </w:rPr>
        <w:t xml:space="preserve"> impactar positivamente nos resultados obtidos pelos alunos usuários da monitoria, aumentando o número de matrículas e o percentual de aprovações</w:t>
      </w:r>
      <w:r>
        <w:rPr>
          <w:rFonts w:ascii="Times New Roman" w:hAnsi="Times New Roman"/>
          <w:sz w:val="24"/>
          <w:szCs w:val="24"/>
          <w:lang w:eastAsia="pt-BR"/>
        </w:rPr>
        <w:t xml:space="preserve">, sendo importante também para a assimilação do conteúdo pelos alunos, que deve se tornar mais complexo ao longo dos anos para 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>uma melhor adequação dos discentes ao cada vez mais competitivo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mercado de trabalho.</w:t>
      </w:r>
      <w:bookmarkStart w:id="0" w:name="_GoBack"/>
      <w:bookmarkEnd w:id="0"/>
    </w:p>
    <w:p w:rsidR="002A0486" w:rsidRPr="00A12E05" w:rsidRDefault="002A0486" w:rsidP="002A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B1E" w:rsidRPr="00056B1E" w:rsidRDefault="002A0486" w:rsidP="00CA5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56B1E" w:rsidRPr="00056B1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56B1E" w:rsidRDefault="00056B1E" w:rsidP="00CA5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1E" w:rsidRPr="00056B1E" w:rsidRDefault="00056B1E" w:rsidP="00CA5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1E">
        <w:rPr>
          <w:rFonts w:ascii="Times New Roman" w:hAnsi="Times New Roman" w:cs="Times New Roman"/>
          <w:sz w:val="24"/>
          <w:szCs w:val="24"/>
        </w:rPr>
        <w:t xml:space="preserve">ASSAF NETO, Alexandre. </w:t>
      </w:r>
      <w:r w:rsidRPr="00056B1E">
        <w:rPr>
          <w:rFonts w:ascii="Times New Roman" w:hAnsi="Times New Roman" w:cs="Times New Roman"/>
          <w:b/>
          <w:sz w:val="24"/>
          <w:szCs w:val="24"/>
        </w:rPr>
        <w:t xml:space="preserve">Estrutura e Análise de Balanços: Um enfoque econômico-financeiro. </w:t>
      </w:r>
      <w:r w:rsidR="00A57274" w:rsidRPr="00A57274">
        <w:rPr>
          <w:rFonts w:ascii="Times New Roman" w:hAnsi="Times New Roman" w:cs="Times New Roman"/>
          <w:sz w:val="24"/>
          <w:szCs w:val="24"/>
        </w:rPr>
        <w:t xml:space="preserve">9º ed. </w:t>
      </w:r>
      <w:r w:rsidRPr="00056B1E">
        <w:rPr>
          <w:rFonts w:ascii="Times New Roman" w:hAnsi="Times New Roman" w:cs="Times New Roman"/>
          <w:sz w:val="24"/>
          <w:szCs w:val="24"/>
        </w:rPr>
        <w:t>São Paulo: Editora Atlas, 2010.</w:t>
      </w:r>
    </w:p>
    <w:p w:rsidR="00056B1E" w:rsidRDefault="00056B1E" w:rsidP="00CA5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1E" w:rsidRDefault="00056B1E" w:rsidP="00CA5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CARNEIRO, Juarez Domingues. </w:t>
      </w:r>
      <w:r w:rsidRPr="0099254B">
        <w:rPr>
          <w:rFonts w:ascii="Times New Roman" w:hAnsi="Times New Roman" w:cs="Times New Roman"/>
          <w:b/>
          <w:sz w:val="24"/>
          <w:szCs w:val="24"/>
        </w:rPr>
        <w:t>Proposta Nacional de conteúdo para o curso de graduação em Ciências Contábeis.</w:t>
      </w:r>
      <w:r>
        <w:rPr>
          <w:rFonts w:ascii="Times New Roman" w:hAnsi="Times New Roman" w:cs="Times New Roman"/>
          <w:sz w:val="24"/>
          <w:szCs w:val="24"/>
        </w:rPr>
        <w:t xml:space="preserve"> Brasília: Fundação Brasileira de Contabilidade, 2008.</w:t>
      </w:r>
    </w:p>
    <w:p w:rsidR="00056B1E" w:rsidRDefault="00056B1E" w:rsidP="00CA5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1E" w:rsidRPr="00056B1E" w:rsidRDefault="00056B1E" w:rsidP="00CA5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1E">
        <w:rPr>
          <w:rFonts w:ascii="Times New Roman" w:hAnsi="Times New Roman" w:cs="Times New Roman"/>
          <w:sz w:val="24"/>
          <w:szCs w:val="24"/>
        </w:rPr>
        <w:t xml:space="preserve">MATARAZZO, Dante </w:t>
      </w:r>
      <w:proofErr w:type="spellStart"/>
      <w:r w:rsidRPr="00056B1E">
        <w:rPr>
          <w:rFonts w:ascii="Times New Roman" w:hAnsi="Times New Roman" w:cs="Times New Roman"/>
          <w:sz w:val="24"/>
          <w:szCs w:val="24"/>
        </w:rPr>
        <w:t>Carmine</w:t>
      </w:r>
      <w:proofErr w:type="spellEnd"/>
      <w:r w:rsidRPr="00056B1E">
        <w:rPr>
          <w:rFonts w:ascii="Times New Roman" w:hAnsi="Times New Roman" w:cs="Times New Roman"/>
          <w:sz w:val="24"/>
          <w:szCs w:val="24"/>
        </w:rPr>
        <w:t xml:space="preserve">. </w:t>
      </w:r>
      <w:r w:rsidRPr="00056B1E">
        <w:rPr>
          <w:rFonts w:ascii="Times New Roman" w:hAnsi="Times New Roman" w:cs="Times New Roman"/>
          <w:b/>
          <w:sz w:val="24"/>
          <w:szCs w:val="24"/>
        </w:rPr>
        <w:t xml:space="preserve">Análise Financeira de Balanços: Abordagem </w:t>
      </w:r>
      <w:proofErr w:type="gramStart"/>
      <w:r w:rsidRPr="00056B1E">
        <w:rPr>
          <w:rFonts w:ascii="Times New Roman" w:hAnsi="Times New Roman" w:cs="Times New Roman"/>
          <w:b/>
          <w:sz w:val="24"/>
          <w:szCs w:val="24"/>
        </w:rPr>
        <w:t>gerencial.</w:t>
      </w:r>
      <w:proofErr w:type="gramEnd"/>
      <w:r w:rsidR="00A6696D">
        <w:rPr>
          <w:rFonts w:ascii="Times New Roman" w:hAnsi="Times New Roman" w:cs="Times New Roman"/>
          <w:sz w:val="24"/>
          <w:szCs w:val="24"/>
        </w:rPr>
        <w:t xml:space="preserve">7º ed. </w:t>
      </w:r>
      <w:r w:rsidRPr="00056B1E">
        <w:rPr>
          <w:rFonts w:ascii="Times New Roman" w:hAnsi="Times New Roman" w:cs="Times New Roman"/>
          <w:sz w:val="24"/>
          <w:szCs w:val="24"/>
        </w:rPr>
        <w:t>São Paulo: Editora Atlas, 2010.</w:t>
      </w:r>
    </w:p>
    <w:p w:rsidR="00056B1E" w:rsidRDefault="00056B1E" w:rsidP="00CA5155">
      <w:pPr>
        <w:pStyle w:val="NormalWeb"/>
        <w:spacing w:before="0" w:beforeAutospacing="0" w:after="0" w:afterAutospacing="0" w:line="360" w:lineRule="auto"/>
        <w:jc w:val="both"/>
      </w:pPr>
    </w:p>
    <w:p w:rsidR="00056B1E" w:rsidRPr="00056B1E" w:rsidRDefault="00056B1E" w:rsidP="00CA5155">
      <w:pPr>
        <w:pStyle w:val="NormalWeb"/>
        <w:spacing w:before="0" w:beforeAutospacing="0" w:after="0" w:afterAutospacing="0" w:line="360" w:lineRule="auto"/>
        <w:jc w:val="both"/>
      </w:pPr>
      <w:r w:rsidRPr="00056B1E">
        <w:t xml:space="preserve">UNIVERSIDADE FEDERAL DA PARAÍBA. </w:t>
      </w:r>
      <w:r w:rsidRPr="00056B1E">
        <w:rPr>
          <w:b/>
        </w:rPr>
        <w:t>Resolução CONSUNE/UFPB n.º 02/96, de 22 de Fevereiro de 2006.</w:t>
      </w:r>
      <w:r w:rsidRPr="00056B1E">
        <w:t xml:space="preserve"> Regulamenta o Programa de Monitoria para os cursos de graduação da UFPB.</w:t>
      </w:r>
    </w:p>
    <w:p w:rsidR="00056B1E" w:rsidRDefault="00056B1E" w:rsidP="00CA5155">
      <w:pPr>
        <w:pStyle w:val="NormalWeb"/>
        <w:spacing w:before="0" w:beforeAutospacing="0" w:after="0" w:afterAutospacing="0" w:line="360" w:lineRule="auto"/>
        <w:jc w:val="both"/>
      </w:pPr>
    </w:p>
    <w:p w:rsidR="00056B1E" w:rsidRPr="00056B1E" w:rsidRDefault="00056B1E" w:rsidP="00CA5155">
      <w:pPr>
        <w:pStyle w:val="NormalWeb"/>
        <w:spacing w:before="0" w:beforeAutospacing="0" w:after="0" w:afterAutospacing="0" w:line="360" w:lineRule="auto"/>
        <w:jc w:val="both"/>
      </w:pPr>
      <w:r w:rsidRPr="00056B1E">
        <w:t xml:space="preserve">ZUNIGA, Victória P.; JUNIOR, </w:t>
      </w:r>
      <w:proofErr w:type="spellStart"/>
      <w:r w:rsidRPr="00056B1E">
        <w:t>Valdério</w:t>
      </w:r>
      <w:proofErr w:type="spellEnd"/>
      <w:r w:rsidRPr="00056B1E">
        <w:t xml:space="preserve"> P. M.; ALMEIDA, Karla K. N. </w:t>
      </w:r>
      <w:proofErr w:type="gramStart"/>
      <w:r w:rsidRPr="00056B1E">
        <w:t>de;</w:t>
      </w:r>
      <w:proofErr w:type="gramEnd"/>
      <w:r w:rsidRPr="00056B1E">
        <w:t xml:space="preserve"> Câmara, Renata P. B. </w:t>
      </w:r>
      <w:r w:rsidRPr="00056B1E">
        <w:rPr>
          <w:b/>
        </w:rPr>
        <w:t>Manual para elaboração do projeto de pesquisa.</w:t>
      </w:r>
      <w:r w:rsidRPr="00056B1E">
        <w:t xml:space="preserve"> </w:t>
      </w:r>
      <w:proofErr w:type="gramStart"/>
      <w:r w:rsidRPr="00056B1E">
        <w:t>2010, João Pessoa</w:t>
      </w:r>
      <w:proofErr w:type="gramEnd"/>
      <w:r w:rsidRPr="00056B1E">
        <w:t>.</w:t>
      </w:r>
    </w:p>
    <w:sectPr w:rsidR="00056B1E" w:rsidRPr="00056B1E" w:rsidSect="00F23E0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0A5"/>
    <w:multiLevelType w:val="hybridMultilevel"/>
    <w:tmpl w:val="108870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778E4"/>
    <w:multiLevelType w:val="hybridMultilevel"/>
    <w:tmpl w:val="2370D3A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D44"/>
    <w:rsid w:val="00056B1E"/>
    <w:rsid w:val="00241D46"/>
    <w:rsid w:val="002A0486"/>
    <w:rsid w:val="003D3479"/>
    <w:rsid w:val="00490527"/>
    <w:rsid w:val="004D018C"/>
    <w:rsid w:val="005C2820"/>
    <w:rsid w:val="007D6CC6"/>
    <w:rsid w:val="008E37F2"/>
    <w:rsid w:val="008E54E0"/>
    <w:rsid w:val="0099254B"/>
    <w:rsid w:val="00A12E05"/>
    <w:rsid w:val="00A274A0"/>
    <w:rsid w:val="00A57274"/>
    <w:rsid w:val="00A6625F"/>
    <w:rsid w:val="00A6696D"/>
    <w:rsid w:val="00B009B9"/>
    <w:rsid w:val="00CA5155"/>
    <w:rsid w:val="00DA3185"/>
    <w:rsid w:val="00E57D44"/>
    <w:rsid w:val="00F23E09"/>
    <w:rsid w:val="00F71585"/>
    <w:rsid w:val="00FD6789"/>
    <w:rsid w:val="00FE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5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5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Sheet1!$E$5</c:f>
              <c:strCache>
                <c:ptCount val="1"/>
                <c:pt idx="0">
                  <c:v>2011.1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Sheet1!$D$6:$D$8</c:f>
              <c:strCache>
                <c:ptCount val="3"/>
                <c:pt idx="0">
                  <c:v>Aprovações</c:v>
                </c:pt>
                <c:pt idx="1">
                  <c:v>Reprovações</c:v>
                </c:pt>
                <c:pt idx="2">
                  <c:v>Desistências</c:v>
                </c:pt>
              </c:strCache>
            </c:strRef>
          </c:cat>
          <c:val>
            <c:numRef>
              <c:f>Sheet1!$E$6:$E$8</c:f>
              <c:numCache>
                <c:formatCode>General</c:formatCode>
                <c:ptCount val="3"/>
                <c:pt idx="0">
                  <c:v>28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gapWidth val="219"/>
        <c:overlap val="-27"/>
        <c:axId val="101164160"/>
        <c:axId val="101165696"/>
      </c:barChart>
      <c:catAx>
        <c:axId val="101164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1165696"/>
        <c:crosses val="autoZero"/>
        <c:auto val="1"/>
        <c:lblAlgn val="ctr"/>
        <c:lblOffset val="100"/>
      </c:catAx>
      <c:valAx>
        <c:axId val="101165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116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Sheet1!$H$5</c:f>
              <c:strCache>
                <c:ptCount val="1"/>
                <c:pt idx="0">
                  <c:v>2011.2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Sheet1!$G$6:$G$8</c:f>
              <c:strCache>
                <c:ptCount val="3"/>
                <c:pt idx="0">
                  <c:v>Aprovações</c:v>
                </c:pt>
                <c:pt idx="1">
                  <c:v>Reprovações</c:v>
                </c:pt>
                <c:pt idx="2">
                  <c:v>Desistências</c:v>
                </c:pt>
              </c:strCache>
            </c:strRef>
          </c:cat>
          <c:val>
            <c:numRef>
              <c:f>Sheet1!$H$6:$H$8</c:f>
              <c:numCache>
                <c:formatCode>General</c:formatCode>
                <c:ptCount val="3"/>
                <c:pt idx="0">
                  <c:v>32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114357376"/>
        <c:axId val="114358912"/>
      </c:barChart>
      <c:catAx>
        <c:axId val="114357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358912"/>
        <c:crosses val="autoZero"/>
        <c:auto val="1"/>
        <c:lblAlgn val="ctr"/>
        <c:lblOffset val="100"/>
      </c:catAx>
      <c:valAx>
        <c:axId val="114358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35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/>
      <c:pieChart>
        <c:varyColors val="1"/>
        <c:ser>
          <c:idx val="0"/>
          <c:order val="0"/>
          <c:tx>
            <c:strRef>
              <c:f>Sheet1!$E$1</c:f>
              <c:strCache>
                <c:ptCount val="1"/>
                <c:pt idx="0">
                  <c:v>2011.1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Sheet1!$D$2:$D$4</c:f>
              <c:strCache>
                <c:ptCount val="3"/>
                <c:pt idx="0">
                  <c:v>Aprovações</c:v>
                </c:pt>
                <c:pt idx="1">
                  <c:v>Reprovações</c:v>
                </c:pt>
                <c:pt idx="2">
                  <c:v>Desistências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0.78</c:v>
                </c:pt>
                <c:pt idx="1">
                  <c:v>6.0000000000000019E-2</c:v>
                </c:pt>
                <c:pt idx="2">
                  <c:v>0.17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/>
      <c:pieChart>
        <c:varyColors val="1"/>
        <c:ser>
          <c:idx val="0"/>
          <c:order val="0"/>
          <c:tx>
            <c:strRef>
              <c:f>Sheet1!$H$1</c:f>
              <c:strCache>
                <c:ptCount val="1"/>
                <c:pt idx="0">
                  <c:v>2011.2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Sheet1!$G$2:$G$4</c:f>
              <c:strCache>
                <c:ptCount val="3"/>
                <c:pt idx="0">
                  <c:v>Aprovações</c:v>
                </c:pt>
                <c:pt idx="1">
                  <c:v>Reprovações</c:v>
                </c:pt>
                <c:pt idx="2">
                  <c:v>Desistências</c:v>
                </c:pt>
              </c:strCache>
            </c:strRef>
          </c:cat>
          <c:val>
            <c:numRef>
              <c:f>Sheet1!$H$2:$H$4</c:f>
              <c:numCache>
                <c:formatCode>0%</c:formatCode>
                <c:ptCount val="3"/>
                <c:pt idx="0">
                  <c:v>0.82000000000000017</c:v>
                </c:pt>
                <c:pt idx="1">
                  <c:v>0.1</c:v>
                </c:pt>
                <c:pt idx="2">
                  <c:v>8.0000000000000029E-2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André M V</dc:creator>
  <cp:keywords/>
  <dc:description/>
  <cp:lastModifiedBy>Azamor</cp:lastModifiedBy>
  <cp:revision>19</cp:revision>
  <cp:lastPrinted>2013-10-31T14:32:00Z</cp:lastPrinted>
  <dcterms:created xsi:type="dcterms:W3CDTF">2013-10-19T20:47:00Z</dcterms:created>
  <dcterms:modified xsi:type="dcterms:W3CDTF">2013-10-31T14:34:00Z</dcterms:modified>
</cp:coreProperties>
</file>